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DF" w:rsidRDefault="002924DF">
      <w:pPr>
        <w:pStyle w:val="22"/>
        <w:keepNext/>
        <w:keepLines/>
        <w:shd w:val="clear" w:color="auto" w:fill="auto"/>
        <w:spacing w:before="0" w:after="270" w:line="220" w:lineRule="exact"/>
        <w:ind w:left="1900"/>
      </w:pPr>
      <w:bookmarkStart w:id="0" w:name="bookmark1"/>
      <w:r>
        <w:rPr>
          <w:noProof/>
          <w:lang w:bidi="ar-SA"/>
        </w:rPr>
        <w:drawing>
          <wp:anchor distT="0" distB="0" distL="114300" distR="114300" simplePos="0" relativeHeight="251658240" behindDoc="1" locked="0" layoutInCell="1" allowOverlap="1">
            <wp:simplePos x="0" y="0"/>
            <wp:positionH relativeFrom="column">
              <wp:posOffset>-300990</wp:posOffset>
            </wp:positionH>
            <wp:positionV relativeFrom="paragraph">
              <wp:posOffset>-114935</wp:posOffset>
            </wp:positionV>
            <wp:extent cx="5977255" cy="2247900"/>
            <wp:effectExtent l="19050" t="0" r="4445" b="0"/>
            <wp:wrapTight wrapText="bothSides">
              <wp:wrapPolygon edited="0">
                <wp:start x="-69" y="0"/>
                <wp:lineTo x="-69" y="21417"/>
                <wp:lineTo x="21616" y="21417"/>
                <wp:lineTo x="21616" y="0"/>
                <wp:lineTo x="-69"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77255" cy="2247900"/>
                    </a:xfrm>
                    <a:prstGeom prst="rect">
                      <a:avLst/>
                    </a:prstGeom>
                    <a:noFill/>
                    <a:ln w="9525">
                      <a:noFill/>
                      <a:miter lim="800000"/>
                      <a:headEnd/>
                      <a:tailEnd/>
                    </a:ln>
                  </pic:spPr>
                </pic:pic>
              </a:graphicData>
            </a:graphic>
          </wp:anchor>
        </w:drawing>
      </w:r>
    </w:p>
    <w:p w:rsidR="002924DF" w:rsidRDefault="002924DF">
      <w:pPr>
        <w:pStyle w:val="22"/>
        <w:keepNext/>
        <w:keepLines/>
        <w:shd w:val="clear" w:color="auto" w:fill="auto"/>
        <w:spacing w:before="0" w:after="270" w:line="220" w:lineRule="exact"/>
        <w:ind w:left="1900"/>
      </w:pPr>
    </w:p>
    <w:p w:rsidR="002924DF" w:rsidRDefault="002924DF">
      <w:pPr>
        <w:pStyle w:val="22"/>
        <w:keepNext/>
        <w:keepLines/>
        <w:shd w:val="clear" w:color="auto" w:fill="auto"/>
        <w:spacing w:before="0" w:after="270" w:line="220" w:lineRule="exact"/>
        <w:ind w:left="1900"/>
      </w:pPr>
    </w:p>
    <w:p w:rsidR="002924DF" w:rsidRDefault="002924DF">
      <w:pPr>
        <w:pStyle w:val="22"/>
        <w:keepNext/>
        <w:keepLines/>
        <w:shd w:val="clear" w:color="auto" w:fill="auto"/>
        <w:spacing w:before="0" w:after="270" w:line="220" w:lineRule="exact"/>
        <w:ind w:left="1900"/>
      </w:pPr>
    </w:p>
    <w:p w:rsidR="002924DF" w:rsidRDefault="002924DF">
      <w:pPr>
        <w:pStyle w:val="22"/>
        <w:keepNext/>
        <w:keepLines/>
        <w:shd w:val="clear" w:color="auto" w:fill="auto"/>
        <w:spacing w:before="0" w:after="270" w:line="220" w:lineRule="exact"/>
        <w:ind w:left="1900"/>
      </w:pPr>
    </w:p>
    <w:p w:rsidR="002924DF" w:rsidRDefault="002924DF">
      <w:pPr>
        <w:pStyle w:val="22"/>
        <w:keepNext/>
        <w:keepLines/>
        <w:shd w:val="clear" w:color="auto" w:fill="auto"/>
        <w:spacing w:before="0" w:after="270" w:line="220" w:lineRule="exact"/>
        <w:ind w:left="1900"/>
      </w:pPr>
    </w:p>
    <w:p w:rsidR="002924DF" w:rsidRDefault="002924DF">
      <w:pPr>
        <w:pStyle w:val="22"/>
        <w:keepNext/>
        <w:keepLines/>
        <w:shd w:val="clear" w:color="auto" w:fill="auto"/>
        <w:spacing w:before="0" w:after="270" w:line="220" w:lineRule="exact"/>
        <w:ind w:left="1900"/>
      </w:pPr>
    </w:p>
    <w:p w:rsidR="002924DF" w:rsidRDefault="002924DF" w:rsidP="002924DF">
      <w:pPr>
        <w:pStyle w:val="22"/>
        <w:keepNext/>
        <w:keepLines/>
        <w:shd w:val="clear" w:color="auto" w:fill="auto"/>
        <w:spacing w:before="0" w:after="270" w:line="220" w:lineRule="exact"/>
      </w:pPr>
    </w:p>
    <w:p w:rsidR="00787510" w:rsidRDefault="005C1711">
      <w:pPr>
        <w:pStyle w:val="22"/>
        <w:keepNext/>
        <w:keepLines/>
        <w:shd w:val="clear" w:color="auto" w:fill="auto"/>
        <w:spacing w:before="0" w:after="270" w:line="220" w:lineRule="exact"/>
        <w:ind w:left="1900"/>
      </w:pPr>
      <w:r>
        <w:t>1. Основные понятия</w:t>
      </w:r>
      <w:bookmarkEnd w:id="0"/>
    </w:p>
    <w:p w:rsidR="00787510" w:rsidRDefault="005C1711">
      <w:pPr>
        <w:pStyle w:val="20"/>
        <w:shd w:val="clear" w:color="auto" w:fill="auto"/>
        <w:ind w:firstLine="560"/>
        <w:jc w:val="both"/>
      </w:pPr>
      <w:r>
        <w:rPr>
          <w:rStyle w:val="23"/>
        </w:rPr>
        <w:t>Компенсационные выплаты</w:t>
      </w:r>
      <w:r>
        <w:rPr>
          <w:rStyle w:val="24"/>
        </w:rPr>
        <w:t xml:space="preserve"> - </w:t>
      </w:r>
      <w:r>
        <w:t xml:space="preserve">дополнительные выплаты работникам </w:t>
      </w:r>
      <w:proofErr w:type="spellStart"/>
      <w:r>
        <w:t>учебновспомогательного</w:t>
      </w:r>
      <w:proofErr w:type="spellEnd"/>
      <w:r>
        <w:t xml:space="preserve"> и младшего обслуживающего персонала за работы: во вредных и (или) опасных и иных особых условиях труда; в условиях труда, отклоняющихся от нормальных; не входящих в круг основных обязанностей и другие.</w:t>
      </w:r>
    </w:p>
    <w:p w:rsidR="00787510" w:rsidRDefault="005C1711">
      <w:pPr>
        <w:pStyle w:val="20"/>
        <w:shd w:val="clear" w:color="auto" w:fill="auto"/>
        <w:ind w:firstLine="560"/>
        <w:jc w:val="both"/>
      </w:pPr>
      <w:r>
        <w:t>Выплаты компенсационного характера, размеры и условия их осуществления устанавливаются на основе Положения об оплате труда работников административного, учебно-вспомогательного и младшего обслуживающего персонала М</w:t>
      </w:r>
      <w:r w:rsidR="00F72F95">
        <w:t xml:space="preserve">БОУ «СШ № </w:t>
      </w:r>
      <w:r>
        <w:t>19</w:t>
      </w:r>
      <w:r w:rsidR="00F72F95">
        <w:t>»</w:t>
      </w:r>
      <w:r>
        <w:t xml:space="preserve"> Коллективным договором, соглашениями, трудовыми договорами в соответствии с трудовым законодательством Российской Федерации и иными нормативными правовыми актами, содержащими нормы трудового права.</w:t>
      </w:r>
    </w:p>
    <w:p w:rsidR="00787510" w:rsidRDefault="005C1711">
      <w:pPr>
        <w:pStyle w:val="20"/>
        <w:shd w:val="clear" w:color="auto" w:fill="auto"/>
        <w:spacing w:after="283"/>
        <w:ind w:firstLine="560"/>
        <w:jc w:val="both"/>
      </w:pPr>
      <w:r>
        <w:t>Размер компенсационных выплат может устанавливаться как в абсолютном значении, так и в процентном отношении к должностному окладу (ставке заработной платы).</w:t>
      </w:r>
    </w:p>
    <w:p w:rsidR="00787510" w:rsidRDefault="005C1711">
      <w:pPr>
        <w:pStyle w:val="22"/>
        <w:keepNext/>
        <w:keepLines/>
        <w:shd w:val="clear" w:color="auto" w:fill="auto"/>
        <w:spacing w:before="0" w:after="270" w:line="220" w:lineRule="exact"/>
        <w:ind w:left="1280"/>
      </w:pPr>
      <w:bookmarkStart w:id="1" w:name="bookmark2"/>
      <w:r>
        <w:t>2. Порядок и условия установления выплат компенсационного характера</w:t>
      </w:r>
      <w:bookmarkEnd w:id="1"/>
    </w:p>
    <w:p w:rsidR="00787510" w:rsidRDefault="005C1711">
      <w:pPr>
        <w:pStyle w:val="20"/>
        <w:numPr>
          <w:ilvl w:val="0"/>
          <w:numId w:val="1"/>
        </w:numPr>
        <w:shd w:val="clear" w:color="auto" w:fill="auto"/>
        <w:tabs>
          <w:tab w:val="left" w:pos="1216"/>
        </w:tabs>
        <w:ind w:firstLine="740"/>
        <w:jc w:val="both"/>
      </w:pPr>
      <w:r>
        <w:t>Могут быть осуществлены следующие выплаты компенсационного характера:</w:t>
      </w:r>
    </w:p>
    <w:p w:rsidR="00787510" w:rsidRDefault="005C1711">
      <w:pPr>
        <w:pStyle w:val="20"/>
        <w:numPr>
          <w:ilvl w:val="0"/>
          <w:numId w:val="2"/>
        </w:numPr>
        <w:shd w:val="clear" w:color="auto" w:fill="auto"/>
        <w:tabs>
          <w:tab w:val="left" w:pos="913"/>
        </w:tabs>
        <w:ind w:firstLine="740"/>
        <w:jc w:val="both"/>
      </w:pPr>
      <w:r>
        <w:t>выплаты работникам, занятым на тяжелых работах, работах с вредными и (или) опасными и иными особыми условиями труда;</w:t>
      </w:r>
    </w:p>
    <w:p w:rsidR="00787510" w:rsidRDefault="005C1711">
      <w:pPr>
        <w:pStyle w:val="20"/>
        <w:numPr>
          <w:ilvl w:val="0"/>
          <w:numId w:val="2"/>
        </w:numPr>
        <w:shd w:val="clear" w:color="auto" w:fill="auto"/>
        <w:tabs>
          <w:tab w:val="left" w:pos="922"/>
        </w:tabs>
        <w:ind w:firstLine="740"/>
        <w:jc w:val="both"/>
      </w:pPr>
      <w:proofErr w:type="gramStart"/>
      <w:r>
        <w:t>выплаты за работу в условиях, отклоняющихся от нормальных (при совмещении профессий (должностей), при расширении зон обслуживания, при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за работу в выходные и нерабочие праздничные дни, а также при выполнении работ в других условиях, отклоняющихся от нормальных);</w:t>
      </w:r>
      <w:proofErr w:type="gramEnd"/>
    </w:p>
    <w:p w:rsidR="00787510" w:rsidRDefault="005C1711">
      <w:pPr>
        <w:pStyle w:val="20"/>
        <w:numPr>
          <w:ilvl w:val="0"/>
          <w:numId w:val="2"/>
        </w:numPr>
        <w:shd w:val="clear" w:color="auto" w:fill="auto"/>
        <w:tabs>
          <w:tab w:val="left" w:pos="913"/>
        </w:tabs>
        <w:ind w:firstLine="740"/>
        <w:jc w:val="both"/>
      </w:pPr>
      <w:r>
        <w:t>выплаты за выполнение дополнительных работ, не входящих в круг основных обязанностей педагогического работника;</w:t>
      </w:r>
    </w:p>
    <w:p w:rsidR="00787510" w:rsidRDefault="005C1711">
      <w:pPr>
        <w:pStyle w:val="20"/>
        <w:numPr>
          <w:ilvl w:val="0"/>
          <w:numId w:val="2"/>
        </w:numPr>
        <w:shd w:val="clear" w:color="auto" w:fill="auto"/>
        <w:ind w:firstLine="740"/>
        <w:jc w:val="both"/>
      </w:pPr>
      <w:r>
        <w:t xml:space="preserve"> выплаты с учетом специфики работы в образовательных учреждениях (приложение к Положению об оплате труда работников М</w:t>
      </w:r>
      <w:r w:rsidR="00F72F95">
        <w:t>БО «С</w:t>
      </w:r>
      <w:r>
        <w:t>Ш № 19</w:t>
      </w:r>
      <w:r w:rsidR="00F72F95">
        <w:t>»</w:t>
      </w:r>
      <w:proofErr w:type="gramStart"/>
      <w:r w:rsidR="00F72F95">
        <w:t xml:space="preserve"> </w:t>
      </w:r>
      <w:r>
        <w:t>)</w:t>
      </w:r>
      <w:proofErr w:type="gramEnd"/>
      <w:r>
        <w:t>.</w:t>
      </w:r>
    </w:p>
    <w:p w:rsidR="00787510" w:rsidRDefault="005C1711">
      <w:pPr>
        <w:pStyle w:val="20"/>
        <w:numPr>
          <w:ilvl w:val="0"/>
          <w:numId w:val="1"/>
        </w:numPr>
        <w:shd w:val="clear" w:color="auto" w:fill="auto"/>
        <w:tabs>
          <w:tab w:val="left" w:pos="1177"/>
        </w:tabs>
        <w:ind w:firstLine="740"/>
        <w:jc w:val="both"/>
      </w:pPr>
      <w:r>
        <w:t>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w:t>
      </w:r>
    </w:p>
    <w:p w:rsidR="00787510" w:rsidRDefault="005C1711" w:rsidP="00F72F95">
      <w:pPr>
        <w:pStyle w:val="20"/>
        <w:shd w:val="clear" w:color="auto" w:fill="auto"/>
        <w:ind w:firstLine="740"/>
        <w:jc w:val="both"/>
      </w:pPr>
      <w:r>
        <w:t>Размер указанных выплат определяется путем умножения должностных окладов на соответствующий повышающий коэффициент и составляет до 1</w:t>
      </w:r>
      <w:r w:rsidR="00F72F95">
        <w:t>2 процентов должностного оклада.</w:t>
      </w:r>
    </w:p>
    <w:p w:rsidR="00787510" w:rsidRDefault="005C1711">
      <w:pPr>
        <w:pStyle w:val="20"/>
        <w:shd w:val="clear" w:color="auto" w:fill="auto"/>
        <w:ind w:firstLine="740"/>
        <w:jc w:val="both"/>
      </w:pPr>
      <w:r>
        <w:t>На момент введения новых систем оплаты труда указанная выплата устанавливается всем работникам, получавшим ее ранее. При этом работодатель</w:t>
      </w:r>
      <w:r>
        <w:br w:type="page"/>
      </w:r>
      <w:r>
        <w:lastRenderedPageBreak/>
        <w:t>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787510" w:rsidRDefault="005C1711">
      <w:pPr>
        <w:pStyle w:val="20"/>
        <w:shd w:val="clear" w:color="auto" w:fill="auto"/>
        <w:ind w:firstLine="740"/>
        <w:jc w:val="both"/>
      </w:pPr>
      <w:r>
        <w:t>Если по итогам аттестации рабочее место признается безопасным, то осуществление указанной выплаты прекращается.</w:t>
      </w:r>
    </w:p>
    <w:p w:rsidR="00787510" w:rsidRDefault="005C1711">
      <w:pPr>
        <w:pStyle w:val="20"/>
        <w:numPr>
          <w:ilvl w:val="0"/>
          <w:numId w:val="1"/>
        </w:numPr>
        <w:shd w:val="clear" w:color="auto" w:fill="auto"/>
        <w:tabs>
          <w:tab w:val="left" w:pos="1182"/>
        </w:tabs>
        <w:ind w:firstLine="740"/>
        <w:jc w:val="both"/>
      </w:pPr>
      <w:proofErr w:type="gramStart"/>
      <w:r>
        <w:t>Выплаты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трудовым законодательством Российской Федерации и иными нормативными правовыми актами, содержащими нормы трудового права.</w:t>
      </w:r>
      <w:proofErr w:type="gramEnd"/>
    </w:p>
    <w:p w:rsidR="00787510" w:rsidRDefault="005C1711">
      <w:pPr>
        <w:pStyle w:val="20"/>
        <w:numPr>
          <w:ilvl w:val="0"/>
          <w:numId w:val="3"/>
        </w:numPr>
        <w:shd w:val="clear" w:color="auto" w:fill="auto"/>
        <w:tabs>
          <w:tab w:val="left" w:pos="1369"/>
        </w:tabs>
        <w:ind w:firstLine="740"/>
        <w:jc w:val="both"/>
      </w:pPr>
      <w:r>
        <w:t>Размер выплаты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87510" w:rsidRDefault="005C1711">
      <w:pPr>
        <w:pStyle w:val="20"/>
        <w:numPr>
          <w:ilvl w:val="0"/>
          <w:numId w:val="3"/>
        </w:numPr>
        <w:shd w:val="clear" w:color="auto" w:fill="auto"/>
        <w:tabs>
          <w:tab w:val="left" w:pos="1359"/>
        </w:tabs>
        <w:ind w:firstLine="740"/>
        <w:jc w:val="both"/>
      </w:pPr>
      <w:r>
        <w:t>Выплата за работу в ночное время производится работникам за каждый час работы в ночное время.</w:t>
      </w:r>
    </w:p>
    <w:p w:rsidR="00787510" w:rsidRDefault="005C1711">
      <w:pPr>
        <w:pStyle w:val="20"/>
        <w:shd w:val="clear" w:color="auto" w:fill="auto"/>
        <w:ind w:firstLine="740"/>
        <w:jc w:val="both"/>
      </w:pPr>
      <w:r>
        <w:t>Ночным считается время с 22 часов до 6 часов утра.</w:t>
      </w:r>
    </w:p>
    <w:p w:rsidR="00787510" w:rsidRDefault="005C1711">
      <w:pPr>
        <w:pStyle w:val="20"/>
        <w:shd w:val="clear" w:color="auto" w:fill="auto"/>
        <w:ind w:firstLine="740"/>
        <w:jc w:val="both"/>
      </w:pPr>
      <w:r>
        <w:t>Размер выплаты - от 20 до 35 процентов оклада (должностного оклада) за каждый час работы работника в ночное время.</w:t>
      </w:r>
    </w:p>
    <w:p w:rsidR="00787510" w:rsidRDefault="005C1711">
      <w:pPr>
        <w:pStyle w:val="20"/>
        <w:shd w:val="clear" w:color="auto" w:fill="auto"/>
        <w:ind w:firstLine="740"/>
        <w:jc w:val="both"/>
      </w:pPr>
      <w:r>
        <w:t>Расчет выплаты за час работы в ночное время определяется путем деления оклада (должностного оклада, ставки заработной платы) работника на среднемесячное количество рабочих часов в году в зависимости от установленной продолжительности рабочего времени для данной категории работников.</w:t>
      </w:r>
    </w:p>
    <w:p w:rsidR="00787510" w:rsidRDefault="005C1711">
      <w:pPr>
        <w:pStyle w:val="20"/>
        <w:numPr>
          <w:ilvl w:val="0"/>
          <w:numId w:val="3"/>
        </w:numPr>
        <w:shd w:val="clear" w:color="auto" w:fill="auto"/>
        <w:tabs>
          <w:tab w:val="left" w:pos="1364"/>
        </w:tabs>
        <w:ind w:firstLine="740"/>
        <w:jc w:val="both"/>
      </w:pPr>
      <w:r>
        <w:t>Выплата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787510" w:rsidRDefault="005C1711">
      <w:pPr>
        <w:pStyle w:val="20"/>
        <w:shd w:val="clear" w:color="auto" w:fill="auto"/>
        <w:ind w:firstLine="740"/>
        <w:jc w:val="both"/>
      </w:pPr>
      <w:r>
        <w:t>Размер выплаты составляет:</w:t>
      </w:r>
    </w:p>
    <w:p w:rsidR="00787510" w:rsidRDefault="005C1711">
      <w:pPr>
        <w:pStyle w:val="20"/>
        <w:numPr>
          <w:ilvl w:val="0"/>
          <w:numId w:val="2"/>
        </w:numPr>
        <w:shd w:val="clear" w:color="auto" w:fill="auto"/>
        <w:tabs>
          <w:tab w:val="left" w:pos="914"/>
        </w:tabs>
        <w:ind w:firstLine="740"/>
        <w:jc w:val="both"/>
      </w:pPr>
      <w:proofErr w:type="gramStart"/>
      <w:r>
        <w:t>не менее одинарной дневной ставки (должностного оклада, ставки заработной платы) сверх оклада (должностного оклада, ставки)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(должностного оклада, ставки заработной платы) сверх оклада (должностного оклада, ставки), если работа производилась сверх месячной нормы рабочего времени;</w:t>
      </w:r>
      <w:proofErr w:type="gramEnd"/>
    </w:p>
    <w:p w:rsidR="00787510" w:rsidRDefault="005C1711">
      <w:pPr>
        <w:pStyle w:val="20"/>
        <w:numPr>
          <w:ilvl w:val="0"/>
          <w:numId w:val="2"/>
        </w:numPr>
        <w:shd w:val="clear" w:color="auto" w:fill="auto"/>
        <w:tabs>
          <w:tab w:val="left" w:pos="918"/>
        </w:tabs>
        <w:ind w:firstLine="740"/>
        <w:jc w:val="both"/>
      </w:pPr>
      <w:proofErr w:type="gramStart"/>
      <w:r>
        <w:t>не менее одинарной часовой ставки (должностного оклада, ставки заработной платы) сверх оклада (должностного оклада, ставки)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(должностного оклада, ставки заработной платы) сверх оклада (должностного оклада, ставки заработной платы) за каждый час работы, если работа</w:t>
      </w:r>
      <w:proofErr w:type="gramEnd"/>
      <w:r>
        <w:t xml:space="preserve"> производилась сверх месячной нормы рабочего времени.</w:t>
      </w:r>
    </w:p>
    <w:p w:rsidR="00787510" w:rsidRDefault="005C1711">
      <w:pPr>
        <w:pStyle w:val="20"/>
        <w:shd w:val="clear" w:color="auto" w:fill="auto"/>
        <w:ind w:firstLine="740"/>
        <w:jc w:val="both"/>
      </w:pPr>
      <w:r>
        <w:t>По желанию работника, работавшего в выходной или нерабочий праздничный день, ему может быть представлен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87510" w:rsidRDefault="005C1711">
      <w:pPr>
        <w:pStyle w:val="20"/>
        <w:numPr>
          <w:ilvl w:val="0"/>
          <w:numId w:val="3"/>
        </w:numPr>
        <w:shd w:val="clear" w:color="auto" w:fill="auto"/>
        <w:tabs>
          <w:tab w:val="left" w:pos="1359"/>
        </w:tabs>
        <w:ind w:firstLine="740"/>
        <w:jc w:val="both"/>
      </w:pPr>
      <w:r>
        <w:t>Сверхурочная работа оплачивается за первые два часа работы не менее</w:t>
      </w:r>
      <w:proofErr w:type="gramStart"/>
      <w:r>
        <w:t>,</w:t>
      </w:r>
      <w:proofErr w:type="gramEnd"/>
      <w:r>
        <w:t xml:space="preserve"> чем в полуторном размере, за последующие часы - не менее чем в двойном размере в соответствии со статьей 152 Трудового кодекса Российской Федерации. Конкретные размеры оплаты за сверхурочную работу определяются коллективным договором, локальным нормативным актом или трудовым договором.</w:t>
      </w:r>
    </w:p>
    <w:p w:rsidR="00787510" w:rsidRDefault="005C1711">
      <w:pPr>
        <w:pStyle w:val="20"/>
        <w:shd w:val="clear" w:color="auto" w:fill="auto"/>
        <w:ind w:firstLine="740"/>
        <w:jc w:val="both"/>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87510" w:rsidRDefault="005C1711">
      <w:pPr>
        <w:pStyle w:val="20"/>
        <w:shd w:val="clear" w:color="auto" w:fill="auto"/>
        <w:spacing w:after="480"/>
        <w:ind w:firstLine="740"/>
        <w:jc w:val="both"/>
      </w:pPr>
      <w:r>
        <w:t xml:space="preserve">Для </w:t>
      </w:r>
      <w:proofErr w:type="spellStart"/>
      <w:r>
        <w:t>пп</w:t>
      </w:r>
      <w:proofErr w:type="spellEnd"/>
      <w:r>
        <w:t xml:space="preserve">.. 3.4.2 - 3.4.4 в случае выплат за час (день) </w:t>
      </w:r>
      <w:proofErr w:type="gramStart"/>
      <w:r>
        <w:t>последняя</w:t>
      </w:r>
      <w:proofErr w:type="gramEnd"/>
      <w:r>
        <w:t xml:space="preserve"> определяется путем деления оклада (должностного оклада), ставки заработной платы на среднемесячное количество рабочих </w:t>
      </w:r>
      <w:r>
        <w:lastRenderedPageBreak/>
        <w:t>часов (дней) в году, в зависимости от установленной продолжительности рабочего времени для данной категории работников.</w:t>
      </w:r>
    </w:p>
    <w:p w:rsidR="00787510" w:rsidRDefault="005C1711">
      <w:pPr>
        <w:pStyle w:val="20"/>
        <w:numPr>
          <w:ilvl w:val="0"/>
          <w:numId w:val="1"/>
        </w:numPr>
        <w:shd w:val="clear" w:color="auto" w:fill="auto"/>
        <w:tabs>
          <w:tab w:val="left" w:pos="1186"/>
        </w:tabs>
        <w:spacing w:after="283"/>
        <w:ind w:firstLine="740"/>
        <w:jc w:val="both"/>
      </w:pPr>
      <w:r>
        <w:t>Размер выплаты за работу с учетом специфики образовательного учреждения (классов, групп) определяется путем умножения должностных окладов на соответствующий коэффициент специфики работы, указанный в приложении 1 к Положению об оплате труда работников М</w:t>
      </w:r>
      <w:r w:rsidR="00F72F95">
        <w:t>БОУ «С</w:t>
      </w:r>
      <w:r>
        <w:t>Ш № 19</w:t>
      </w:r>
      <w:r w:rsidR="00F72F95">
        <w:t>»</w:t>
      </w:r>
      <w:bookmarkStart w:id="2" w:name="_GoBack"/>
      <w:bookmarkEnd w:id="2"/>
      <w:r>
        <w:t>:</w:t>
      </w:r>
    </w:p>
    <w:p w:rsidR="00787510" w:rsidRPr="00F72F95" w:rsidRDefault="005C1711">
      <w:pPr>
        <w:pStyle w:val="22"/>
        <w:keepNext/>
        <w:keepLines/>
        <w:shd w:val="clear" w:color="auto" w:fill="auto"/>
        <w:spacing w:before="0" w:after="0" w:line="220" w:lineRule="exact"/>
        <w:rPr>
          <w:b w:val="0"/>
        </w:rPr>
      </w:pPr>
      <w:bookmarkStart w:id="3" w:name="bookmark3"/>
      <w:r w:rsidRPr="00F72F95">
        <w:rPr>
          <w:b w:val="0"/>
        </w:rPr>
        <w:t>-учителю-логопеду - 20% от должностного оклада</w:t>
      </w:r>
      <w:bookmarkEnd w:id="3"/>
    </w:p>
    <w:sectPr w:rsidR="00787510" w:rsidRPr="00F72F95" w:rsidSect="00E42770">
      <w:type w:val="continuous"/>
      <w:pgSz w:w="11900" w:h="16840"/>
      <w:pgMar w:top="1156" w:right="813" w:bottom="1226" w:left="16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91" w:rsidRDefault="00F40491">
      <w:r>
        <w:separator/>
      </w:r>
    </w:p>
  </w:endnote>
  <w:endnote w:type="continuationSeparator" w:id="0">
    <w:p w:rsidR="00F40491" w:rsidRDefault="00F40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91" w:rsidRDefault="00F40491"/>
  </w:footnote>
  <w:footnote w:type="continuationSeparator" w:id="0">
    <w:p w:rsidR="00F40491" w:rsidRDefault="00F4049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29A7"/>
    <w:multiLevelType w:val="multilevel"/>
    <w:tmpl w:val="6BF05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C87C72"/>
    <w:multiLevelType w:val="multilevel"/>
    <w:tmpl w:val="0A7A30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B67A38"/>
    <w:multiLevelType w:val="multilevel"/>
    <w:tmpl w:val="232CC4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87510"/>
    <w:rsid w:val="002924DF"/>
    <w:rsid w:val="005C1711"/>
    <w:rsid w:val="00717B1E"/>
    <w:rsid w:val="00787510"/>
    <w:rsid w:val="00A33636"/>
    <w:rsid w:val="00C11AE2"/>
    <w:rsid w:val="00E42770"/>
    <w:rsid w:val="00F40491"/>
    <w:rsid w:val="00F72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277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2770"/>
    <w:rPr>
      <w:color w:val="0066CC"/>
      <w:u w:val="single"/>
    </w:rPr>
  </w:style>
  <w:style w:type="character" w:customStyle="1" w:styleId="2">
    <w:name w:val="Основной текст (2)_"/>
    <w:basedOn w:val="a0"/>
    <w:link w:val="20"/>
    <w:rsid w:val="00E4277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E42770"/>
    <w:rPr>
      <w:rFonts w:ascii="Times New Roman" w:eastAsia="Times New Roman" w:hAnsi="Times New Roman" w:cs="Times New Roman"/>
      <w:b/>
      <w:bCs/>
      <w:i w:val="0"/>
      <w:iCs w:val="0"/>
      <w:smallCaps w:val="0"/>
      <w:strike w:val="0"/>
      <w:spacing w:val="-10"/>
      <w:sz w:val="26"/>
      <w:szCs w:val="26"/>
      <w:u w:val="none"/>
    </w:rPr>
  </w:style>
  <w:style w:type="character" w:customStyle="1" w:styleId="3">
    <w:name w:val="Основной текст (3)_"/>
    <w:basedOn w:val="a0"/>
    <w:link w:val="30"/>
    <w:rsid w:val="00E42770"/>
    <w:rPr>
      <w:rFonts w:ascii="Times New Roman" w:eastAsia="Times New Roman" w:hAnsi="Times New Roman" w:cs="Times New Roman"/>
      <w:b/>
      <w:bCs/>
      <w:i w:val="0"/>
      <w:iCs w:val="0"/>
      <w:smallCaps w:val="0"/>
      <w:strike w:val="0"/>
      <w:sz w:val="22"/>
      <w:szCs w:val="22"/>
      <w:u w:val="none"/>
    </w:rPr>
  </w:style>
  <w:style w:type="character" w:customStyle="1" w:styleId="21">
    <w:name w:val="Заголовок №2_"/>
    <w:basedOn w:val="a0"/>
    <w:link w:val="22"/>
    <w:rsid w:val="00E42770"/>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 Полужирный"/>
    <w:basedOn w:val="2"/>
    <w:rsid w:val="00E4277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
    <w:basedOn w:val="2"/>
    <w:rsid w:val="00E427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 (3) + Не полужирный"/>
    <w:basedOn w:val="3"/>
    <w:rsid w:val="00E427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E42770"/>
    <w:pPr>
      <w:shd w:val="clear" w:color="auto" w:fill="FFFFFF"/>
      <w:spacing w:line="274" w:lineRule="exact"/>
    </w:pPr>
    <w:rPr>
      <w:rFonts w:ascii="Times New Roman" w:eastAsia="Times New Roman" w:hAnsi="Times New Roman" w:cs="Times New Roman"/>
      <w:sz w:val="22"/>
      <w:szCs w:val="22"/>
    </w:rPr>
  </w:style>
  <w:style w:type="paragraph" w:customStyle="1" w:styleId="10">
    <w:name w:val="Заголовок №1"/>
    <w:basedOn w:val="a"/>
    <w:link w:val="1"/>
    <w:rsid w:val="00E42770"/>
    <w:pPr>
      <w:shd w:val="clear" w:color="auto" w:fill="FFFFFF"/>
      <w:spacing w:line="278" w:lineRule="exact"/>
      <w:outlineLvl w:val="0"/>
    </w:pPr>
    <w:rPr>
      <w:rFonts w:ascii="Times New Roman" w:eastAsia="Times New Roman" w:hAnsi="Times New Roman" w:cs="Times New Roman"/>
      <w:b/>
      <w:bCs/>
      <w:spacing w:val="-10"/>
      <w:sz w:val="26"/>
      <w:szCs w:val="26"/>
    </w:rPr>
  </w:style>
  <w:style w:type="paragraph" w:customStyle="1" w:styleId="30">
    <w:name w:val="Основной текст (3)"/>
    <w:basedOn w:val="a"/>
    <w:link w:val="3"/>
    <w:rsid w:val="00E42770"/>
    <w:pPr>
      <w:shd w:val="clear" w:color="auto" w:fill="FFFFFF"/>
      <w:spacing w:after="240" w:line="278" w:lineRule="exact"/>
      <w:ind w:firstLine="220"/>
    </w:pPr>
    <w:rPr>
      <w:rFonts w:ascii="Times New Roman" w:eastAsia="Times New Roman" w:hAnsi="Times New Roman" w:cs="Times New Roman"/>
      <w:b/>
      <w:bCs/>
      <w:sz w:val="22"/>
      <w:szCs w:val="22"/>
    </w:rPr>
  </w:style>
  <w:style w:type="paragraph" w:customStyle="1" w:styleId="22">
    <w:name w:val="Заголовок №2"/>
    <w:basedOn w:val="a"/>
    <w:link w:val="21"/>
    <w:rsid w:val="00E42770"/>
    <w:pPr>
      <w:shd w:val="clear" w:color="auto" w:fill="FFFFFF"/>
      <w:spacing w:before="240" w:after="360" w:line="0" w:lineRule="atLeast"/>
      <w:outlineLvl w:val="1"/>
    </w:pPr>
    <w:rPr>
      <w:rFonts w:ascii="Times New Roman" w:eastAsia="Times New Roman" w:hAnsi="Times New Roman" w:cs="Times New Roman"/>
      <w:b/>
      <w:bCs/>
      <w:sz w:val="22"/>
      <w:szCs w:val="22"/>
    </w:rPr>
  </w:style>
  <w:style w:type="paragraph" w:styleId="a4">
    <w:name w:val="No Spacing"/>
    <w:uiPriority w:val="1"/>
    <w:qFormat/>
    <w:rsid w:val="00A33636"/>
    <w:pPr>
      <w:widowControl/>
    </w:pPr>
    <w:rPr>
      <w:rFonts w:ascii="Calibri" w:eastAsia="Calibri" w:hAnsi="Calibri" w:cs="Times New Roman"/>
      <w:sz w:val="22"/>
      <w:szCs w:val="22"/>
      <w:lang w:eastAsia="en-US" w:bidi="ar-SA"/>
    </w:rPr>
  </w:style>
  <w:style w:type="paragraph" w:styleId="a5">
    <w:name w:val="Balloon Text"/>
    <w:basedOn w:val="a"/>
    <w:link w:val="a6"/>
    <w:uiPriority w:val="99"/>
    <w:semiHidden/>
    <w:unhideWhenUsed/>
    <w:rsid w:val="002924DF"/>
    <w:rPr>
      <w:rFonts w:ascii="Tahoma" w:hAnsi="Tahoma" w:cs="Tahoma"/>
      <w:sz w:val="16"/>
      <w:szCs w:val="16"/>
    </w:rPr>
  </w:style>
  <w:style w:type="character" w:customStyle="1" w:styleId="a6">
    <w:name w:val="Текст выноски Знак"/>
    <w:basedOn w:val="a0"/>
    <w:link w:val="a5"/>
    <w:uiPriority w:val="99"/>
    <w:semiHidden/>
    <w:rsid w:val="002924D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Принято    на                                                                                       Утверждено и введено в действие</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Утверждено и введено в действие</dc:title>
  <dc:creator>User</dc:creator>
  <cp:lastModifiedBy>Берснева М.В.</cp:lastModifiedBy>
  <cp:revision>2</cp:revision>
  <dcterms:created xsi:type="dcterms:W3CDTF">2020-02-10T12:03:00Z</dcterms:created>
  <dcterms:modified xsi:type="dcterms:W3CDTF">2020-02-10T12:03:00Z</dcterms:modified>
</cp:coreProperties>
</file>